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F2D6C23" w14:textId="77777777" w:rsidTr="00B0354C">
        <w:tc>
          <w:tcPr>
            <w:tcW w:w="3539" w:type="dxa"/>
          </w:tcPr>
          <w:p w14:paraId="6549AD60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9393843" wp14:editId="03303DD5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568D20BA" w14:textId="77777777" w:rsidR="00B0354C" w:rsidRDefault="00B0354C" w:rsidP="00B0354C"/>
        </w:tc>
      </w:tr>
    </w:tbl>
    <w:p w14:paraId="0C9A827D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E8CADFC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15FB5558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OIB: 28082679513 ▪ MB: 1404881 ▪ IBAN: </w:t>
      </w:r>
      <w:r w:rsidR="00EA755B">
        <w:rPr>
          <w:rFonts w:asciiTheme="minorHAnsi" w:hAnsiTheme="minorHAnsi" w:cstheme="minorHAnsi"/>
          <w:color w:val="7F7F7F" w:themeColor="text1" w:themeTint="80"/>
          <w:sz w:val="14"/>
        </w:rPr>
        <w:t>HR0823600001103081122</w:t>
      </w:r>
    </w:p>
    <w:p w14:paraId="6605DEAB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320C13AB" w14:textId="5D4426C5" w:rsidR="00DA36B8" w:rsidRPr="00A768A4" w:rsidRDefault="00DA36B8" w:rsidP="00DA36B8">
      <w:pPr>
        <w:ind w:right="74"/>
      </w:pPr>
      <w:r w:rsidRPr="00A768A4">
        <w:t xml:space="preserve">KLASA: </w:t>
      </w:r>
      <w:r w:rsidR="00A768A4" w:rsidRPr="00A768A4">
        <w:rPr>
          <w:color w:val="2C363A"/>
          <w:shd w:val="clear" w:color="auto" w:fill="FFFFFF"/>
        </w:rPr>
        <w:t>402-01/24-01/05</w:t>
      </w:r>
    </w:p>
    <w:p w14:paraId="145B562C" w14:textId="28D09B82" w:rsidR="00DA36B8" w:rsidRPr="00A768A4" w:rsidRDefault="00DA36B8" w:rsidP="00DA36B8">
      <w:pPr>
        <w:spacing w:before="20" w:after="20"/>
        <w:ind w:right="23"/>
      </w:pPr>
      <w:r w:rsidRPr="00A768A4">
        <w:t xml:space="preserve">UR. BR.: </w:t>
      </w:r>
      <w:r w:rsidR="00A768A4" w:rsidRPr="00A768A4">
        <w:rPr>
          <w:color w:val="2C363A"/>
          <w:shd w:val="clear" w:color="auto" w:fill="FFFFFF"/>
        </w:rPr>
        <w:t>2158-63-04-24-0</w:t>
      </w:r>
      <w:r w:rsidR="0004027B">
        <w:rPr>
          <w:color w:val="2C363A"/>
          <w:shd w:val="clear" w:color="auto" w:fill="FFFFFF"/>
        </w:rPr>
        <w:t>2</w:t>
      </w:r>
    </w:p>
    <w:p w14:paraId="0F05A1AA" w14:textId="77777777" w:rsidR="00DA36B8" w:rsidRDefault="00DA36B8" w:rsidP="00DA36B8">
      <w:pPr>
        <w:spacing w:before="20" w:after="20"/>
        <w:ind w:right="23"/>
      </w:pPr>
    </w:p>
    <w:p w14:paraId="6617BBC4" w14:textId="29B16F62" w:rsidR="00DA36B8" w:rsidRDefault="00DA36B8" w:rsidP="00DA36B8">
      <w:pPr>
        <w:spacing w:before="20" w:after="20"/>
        <w:ind w:right="23"/>
      </w:pPr>
      <w:r>
        <w:t>Osijek, 26. siječnja 2024.</w:t>
      </w:r>
    </w:p>
    <w:p w14:paraId="378B3335" w14:textId="3AC298A7" w:rsidR="00DA36B8" w:rsidRDefault="00DA36B8" w:rsidP="00DA36B8">
      <w:pPr>
        <w:spacing w:before="20" w:after="20"/>
        <w:ind w:right="23"/>
      </w:pPr>
    </w:p>
    <w:p w14:paraId="56670B18" w14:textId="77777777" w:rsidR="00A768A4" w:rsidRDefault="00A768A4" w:rsidP="00DA36B8">
      <w:pPr>
        <w:spacing w:before="20" w:after="20"/>
        <w:ind w:right="23"/>
      </w:pPr>
    </w:p>
    <w:p w14:paraId="74D7BE37" w14:textId="77777777" w:rsidR="00DA36B8" w:rsidRDefault="00DA36B8" w:rsidP="00DA36B8">
      <w:pPr>
        <w:rPr>
          <w:b/>
        </w:rPr>
      </w:pPr>
      <w:r>
        <w:rPr>
          <w:b/>
        </w:rPr>
        <w:t>REPUBLIKA HRVATSKA</w:t>
      </w:r>
    </w:p>
    <w:p w14:paraId="13A94A2E" w14:textId="77777777" w:rsidR="00DA36B8" w:rsidRDefault="00DA36B8" w:rsidP="00DA36B8">
      <w:r>
        <w:rPr>
          <w:b/>
        </w:rPr>
        <w:t>NADLEŽNO MINISTARSTVO:</w:t>
      </w:r>
      <w:r>
        <w:t xml:space="preserve"> MINISTARSTVO ZNANOSTI I OBRAZOVANJA</w:t>
      </w:r>
    </w:p>
    <w:p w14:paraId="608F8679" w14:textId="77777777" w:rsidR="00DA36B8" w:rsidRDefault="00DA36B8" w:rsidP="00DA36B8">
      <w:r>
        <w:rPr>
          <w:b/>
        </w:rPr>
        <w:t>PRORAČUNSKI KORISNIK:</w:t>
      </w:r>
      <w:r>
        <w:t xml:space="preserve"> SVEUČILIŠTE JOSIPA JURJA STROSSMAYERA U OSIJEKU, FAKULTET ZA ODGOJNE I OBRAZOVNE ZNANOSTI</w:t>
      </w:r>
    </w:p>
    <w:p w14:paraId="7D26BFE6" w14:textId="77777777" w:rsidR="00DA36B8" w:rsidRDefault="00DA36B8" w:rsidP="00DA36B8">
      <w:r>
        <w:rPr>
          <w:b/>
        </w:rPr>
        <w:t>OIB:</w:t>
      </w:r>
      <w:r>
        <w:t xml:space="preserve"> 28082679513</w:t>
      </w:r>
    </w:p>
    <w:p w14:paraId="529CC2A1" w14:textId="77777777" w:rsidR="00DA36B8" w:rsidRDefault="00DA36B8" w:rsidP="00DA36B8">
      <w:r>
        <w:rPr>
          <w:b/>
        </w:rPr>
        <w:t>RAZINA:</w:t>
      </w:r>
      <w:r>
        <w:t xml:space="preserve"> 11</w:t>
      </w:r>
    </w:p>
    <w:p w14:paraId="62E37FDD" w14:textId="77777777" w:rsidR="00DA36B8" w:rsidRDefault="00DA36B8" w:rsidP="00DA36B8">
      <w:r>
        <w:rPr>
          <w:b/>
        </w:rPr>
        <w:t xml:space="preserve">ŠIFRA DJELATNOSTI: </w:t>
      </w:r>
      <w:r>
        <w:t>8542</w:t>
      </w:r>
    </w:p>
    <w:p w14:paraId="4CAD3845" w14:textId="77777777" w:rsidR="00DA36B8" w:rsidRDefault="00DA36B8" w:rsidP="00DA36B8">
      <w:pPr>
        <w:rPr>
          <w:b/>
        </w:rPr>
      </w:pPr>
      <w:r>
        <w:rPr>
          <w:b/>
        </w:rPr>
        <w:t xml:space="preserve">RAZDJEL: </w:t>
      </w:r>
      <w:r>
        <w:t>080 (MINISTARSTVO ZNANOSTI I OBRAZOVANJA)</w:t>
      </w:r>
    </w:p>
    <w:p w14:paraId="2C5499FE" w14:textId="77777777" w:rsidR="00DA36B8" w:rsidRDefault="00DA36B8" w:rsidP="00DA36B8">
      <w:r>
        <w:rPr>
          <w:b/>
        </w:rPr>
        <w:t>RKP:</w:t>
      </w:r>
      <w:r>
        <w:t xml:space="preserve"> 22486</w:t>
      </w:r>
    </w:p>
    <w:p w14:paraId="44A46078" w14:textId="77777777" w:rsidR="00DA36B8" w:rsidRDefault="00DA36B8" w:rsidP="00DA36B8">
      <w:r>
        <w:rPr>
          <w:b/>
        </w:rPr>
        <w:t>OSOBA ZA KONTAKTIRANJE:</w:t>
      </w:r>
      <w:r>
        <w:t xml:space="preserve"> Jozo Krajina, </w:t>
      </w:r>
      <w:proofErr w:type="spellStart"/>
      <w:r>
        <w:t>univ</w:t>
      </w:r>
      <w:proofErr w:type="spellEnd"/>
      <w:r>
        <w:t xml:space="preserve">. </w:t>
      </w:r>
      <w:proofErr w:type="spellStart"/>
      <w:r>
        <w:t>spec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14:paraId="7115A219" w14:textId="77777777" w:rsidR="00DA36B8" w:rsidRDefault="00DA36B8" w:rsidP="00DA36B8">
      <w:r>
        <w:rPr>
          <w:b/>
        </w:rPr>
        <w:t>TELEFON/FAKS:</w:t>
      </w:r>
      <w:r>
        <w:t xml:space="preserve"> 031 321 708, 031 321 899</w:t>
      </w:r>
    </w:p>
    <w:p w14:paraId="65F8965C" w14:textId="77777777" w:rsidR="00DA36B8" w:rsidRDefault="00DA36B8" w:rsidP="00DA36B8">
      <w:r>
        <w:rPr>
          <w:b/>
        </w:rPr>
        <w:t xml:space="preserve">ADRESA E-POŠTE: </w:t>
      </w:r>
      <w:hyperlink r:id="rId9" w:history="1">
        <w:r>
          <w:rPr>
            <w:rStyle w:val="Hiperveza"/>
            <w:color w:val="auto"/>
          </w:rPr>
          <w:t>jkrajina@foozos.hr</w:t>
        </w:r>
      </w:hyperlink>
      <w:r>
        <w:t xml:space="preserve">, </w:t>
      </w:r>
      <w:hyperlink r:id="rId10" w:history="1">
        <w:r>
          <w:rPr>
            <w:rStyle w:val="Hiperveza"/>
            <w:color w:val="auto"/>
          </w:rPr>
          <w:t>helpdesk@foozos.hr</w:t>
        </w:r>
      </w:hyperlink>
    </w:p>
    <w:p w14:paraId="0CAD3C3D" w14:textId="77777777" w:rsidR="00DA36B8" w:rsidRDefault="00DA36B8" w:rsidP="00DA36B8">
      <w:r>
        <w:rPr>
          <w:b/>
        </w:rPr>
        <w:t>ZAKONSKI PREDSTAVNIK:</w:t>
      </w:r>
      <w:r>
        <w:t xml:space="preserve"> prof. dr. sc. Emina </w:t>
      </w:r>
      <w:proofErr w:type="spellStart"/>
      <w:r>
        <w:t>Berbić</w:t>
      </w:r>
      <w:proofErr w:type="spellEnd"/>
      <w:r>
        <w:t xml:space="preserve"> Kolar, dekanica</w:t>
      </w:r>
    </w:p>
    <w:p w14:paraId="6CECAA74" w14:textId="77777777" w:rsidR="00DA36B8" w:rsidRDefault="00DA36B8" w:rsidP="00DA36B8">
      <w:pPr>
        <w:spacing w:line="360" w:lineRule="auto"/>
      </w:pPr>
    </w:p>
    <w:p w14:paraId="4E540A1E" w14:textId="77777777" w:rsidR="00DA36B8" w:rsidRDefault="00DA36B8" w:rsidP="00DA36B8">
      <w:pPr>
        <w:spacing w:line="360" w:lineRule="auto"/>
        <w:jc w:val="center"/>
        <w:rPr>
          <w:b/>
        </w:rPr>
      </w:pPr>
      <w:r>
        <w:rPr>
          <w:b/>
        </w:rPr>
        <w:t>BILJEŠKE UZ FINANCIJSKO IZVJEŠĆE</w:t>
      </w:r>
    </w:p>
    <w:p w14:paraId="091502FC" w14:textId="6D551DDC" w:rsidR="00DA36B8" w:rsidRDefault="00DA36B8" w:rsidP="00DA36B8">
      <w:pPr>
        <w:spacing w:line="360" w:lineRule="auto"/>
        <w:jc w:val="center"/>
        <w:rPr>
          <w:b/>
        </w:rPr>
      </w:pPr>
      <w:r>
        <w:rPr>
          <w:b/>
        </w:rPr>
        <w:t>(za razdoblje 1. 1. 2023. do 31. 12. 2023. godine)</w:t>
      </w:r>
    </w:p>
    <w:p w14:paraId="0620281C" w14:textId="77777777" w:rsidR="00DA36B8" w:rsidRDefault="00DA36B8" w:rsidP="00DA36B8">
      <w:pPr>
        <w:spacing w:line="360" w:lineRule="auto"/>
        <w:jc w:val="center"/>
        <w:rPr>
          <w:b/>
        </w:rPr>
      </w:pPr>
    </w:p>
    <w:p w14:paraId="1AAF743E" w14:textId="77777777" w:rsidR="00DA36B8" w:rsidRDefault="00DA36B8" w:rsidP="00DA36B8">
      <w:pPr>
        <w:spacing w:line="360" w:lineRule="auto"/>
        <w:jc w:val="both"/>
      </w:pPr>
      <w:r>
        <w:t>Fakultet za odgojne i obrazovne znanosti je javno visoko učilište u sastavu Sveučilišta J. J. Strossmayera u Osijeku. Osnovna djelatnost Fakulteta je visoko obrazovanje i znanost. Najvećim dijelom se financira iz državnoga proračuna Republike Hrvatske, a manjim dijelom od obavljanja vlastite djelatnosti.</w:t>
      </w:r>
    </w:p>
    <w:p w14:paraId="580B3F98" w14:textId="15A72A25" w:rsidR="00DA36B8" w:rsidRDefault="00DA36B8" w:rsidP="00DA36B8">
      <w:pPr>
        <w:spacing w:line="360" w:lineRule="auto"/>
        <w:jc w:val="both"/>
      </w:pPr>
      <w:r>
        <w:t>Sukladno čl. 15. – 18. Pravilnika o financijskom izvještavanju u proračunskom računovodstvu (Nar. nov., br. 37/2022.) dostavljamo Bilješke uz financijsko izvješće kao dopunu i pojašnjenje određenih pozicija iz financijskoga izvješća.</w:t>
      </w:r>
    </w:p>
    <w:p w14:paraId="42939897" w14:textId="77777777" w:rsidR="00DA36B8" w:rsidRDefault="00DA36B8" w:rsidP="00DA36B8">
      <w:pPr>
        <w:spacing w:line="360" w:lineRule="auto"/>
        <w:jc w:val="both"/>
        <w:rPr>
          <w:b/>
        </w:rPr>
      </w:pPr>
    </w:p>
    <w:p w14:paraId="3351A1B0" w14:textId="77777777" w:rsidR="00DA36B8" w:rsidRDefault="00DA36B8" w:rsidP="00DA36B8">
      <w:pPr>
        <w:spacing w:line="360" w:lineRule="auto"/>
        <w:jc w:val="both"/>
        <w:rPr>
          <w:b/>
        </w:rPr>
      </w:pPr>
      <w:r>
        <w:rPr>
          <w:b/>
        </w:rPr>
        <w:t>BILJEŠKE UZ OBRAZAC PR-RAS</w:t>
      </w:r>
    </w:p>
    <w:p w14:paraId="5DB4A5B1" w14:textId="77777777" w:rsidR="00DA36B8" w:rsidRDefault="00DA36B8" w:rsidP="00DA36B8">
      <w:pPr>
        <w:spacing w:line="360" w:lineRule="auto"/>
        <w:jc w:val="both"/>
        <w:rPr>
          <w:b/>
        </w:rPr>
      </w:pPr>
    </w:p>
    <w:p w14:paraId="76455F73" w14:textId="226E68E4" w:rsidR="00DA36B8" w:rsidRDefault="00DA36B8" w:rsidP="00DA36B8">
      <w:pPr>
        <w:spacing w:line="360" w:lineRule="auto"/>
        <w:jc w:val="both"/>
      </w:pPr>
      <w:r>
        <w:t xml:space="preserve">ŠIFRA 6 – </w:t>
      </w:r>
      <w:r w:rsidR="00364435">
        <w:t xml:space="preserve">povećanje </w:t>
      </w:r>
      <w:r>
        <w:t xml:space="preserve">prihodi u izvještajnom razdoblju </w:t>
      </w:r>
      <w:r w:rsidR="00364435">
        <w:t>najvećim dijelom se odnosi na povećanje prihoda iz nadležnog proračuna</w:t>
      </w:r>
      <w:r w:rsidR="00A768A4">
        <w:t>.</w:t>
      </w:r>
    </w:p>
    <w:p w14:paraId="1AB55D22" w14:textId="77777777" w:rsidR="00A768A4" w:rsidRDefault="00A768A4" w:rsidP="00DA36B8">
      <w:pPr>
        <w:spacing w:line="360" w:lineRule="auto"/>
        <w:jc w:val="both"/>
      </w:pPr>
    </w:p>
    <w:p w14:paraId="152EBEAB" w14:textId="01DD1D30" w:rsidR="00DA36B8" w:rsidRDefault="00DA36B8" w:rsidP="00DA36B8">
      <w:pPr>
        <w:spacing w:line="360" w:lineRule="auto"/>
        <w:jc w:val="both"/>
      </w:pPr>
      <w:r>
        <w:lastRenderedPageBreak/>
        <w:t>ŠIFRA 636 – povećanje se odnosi na ostvarenu pomoć Grada Slatine zbog pokretanja izvanrednog studija predškolskog odgoja i obrazovanja u Slatini, te zbog povećanja primljenih sredstava Grada Osijeka i Osječko-baranjske županije za aktivnosti koje su provedene u tekućem izvještajnom razdoblju</w:t>
      </w:r>
      <w:r w:rsidR="00A768A4">
        <w:t>.</w:t>
      </w:r>
    </w:p>
    <w:p w14:paraId="3D5569A2" w14:textId="77777777" w:rsidR="00DA36B8" w:rsidRDefault="00DA36B8" w:rsidP="00DA36B8">
      <w:pPr>
        <w:spacing w:line="360" w:lineRule="auto"/>
        <w:jc w:val="both"/>
      </w:pPr>
    </w:p>
    <w:p w14:paraId="7DBD8EFA" w14:textId="1465462F" w:rsidR="00DA36B8" w:rsidRDefault="00DA36B8" w:rsidP="00DA36B8">
      <w:pPr>
        <w:spacing w:line="360" w:lineRule="auto"/>
        <w:jc w:val="both"/>
      </w:pPr>
      <w:r>
        <w:t>ŠIFRA 652 – povećanje je rezultat povećanja broja upisanih studenata zbog pokretanja novoga studijskoga programa</w:t>
      </w:r>
      <w:r w:rsidR="00A768A4">
        <w:t>.</w:t>
      </w:r>
    </w:p>
    <w:p w14:paraId="6C230C92" w14:textId="77777777" w:rsidR="00DA36B8" w:rsidRDefault="00DA36B8" w:rsidP="00DA36B8">
      <w:pPr>
        <w:spacing w:line="360" w:lineRule="auto"/>
        <w:jc w:val="both"/>
      </w:pPr>
    </w:p>
    <w:p w14:paraId="17A631B5" w14:textId="0C4225D0" w:rsidR="00DA36B8" w:rsidRDefault="00DA36B8" w:rsidP="00DA36B8">
      <w:pPr>
        <w:spacing w:line="360" w:lineRule="auto"/>
        <w:jc w:val="both"/>
      </w:pPr>
      <w:r>
        <w:t>ŠIFRA 661 – smanjenje prihoda rezultat je smanjenja aktivnosti ostvarenih na programima cjeloživotnoga obrazovanja</w:t>
      </w:r>
      <w:r w:rsidR="00A768A4">
        <w:t>.</w:t>
      </w:r>
    </w:p>
    <w:p w14:paraId="5DCD992F" w14:textId="77777777" w:rsidR="00DA36B8" w:rsidRDefault="00DA36B8" w:rsidP="00DA36B8">
      <w:pPr>
        <w:spacing w:line="360" w:lineRule="auto"/>
        <w:jc w:val="both"/>
      </w:pPr>
    </w:p>
    <w:p w14:paraId="337A9543" w14:textId="60B14609" w:rsidR="00DA36B8" w:rsidRDefault="00DA36B8" w:rsidP="00DA36B8">
      <w:pPr>
        <w:spacing w:line="360" w:lineRule="auto"/>
        <w:jc w:val="both"/>
      </w:pPr>
      <w:r>
        <w:t xml:space="preserve">ŠIFRA 671 – </w:t>
      </w:r>
      <w:r w:rsidR="00364435">
        <w:t xml:space="preserve">povećanje </w:t>
      </w:r>
      <w:r>
        <w:t xml:space="preserve">prihodi iz nadležnog proračuna </w:t>
      </w:r>
      <w:r w:rsidR="00364435">
        <w:t>rezultat je povećanja plaća i materijalnih prava zaposlenika koji su ostvareni u izvještajnom razdoblju</w:t>
      </w:r>
      <w:r w:rsidR="00A768A4">
        <w:t>.</w:t>
      </w:r>
    </w:p>
    <w:p w14:paraId="00BD087B" w14:textId="77777777" w:rsidR="00DA36B8" w:rsidRDefault="00DA36B8" w:rsidP="00DA36B8">
      <w:pPr>
        <w:spacing w:line="360" w:lineRule="auto"/>
        <w:jc w:val="both"/>
      </w:pPr>
    </w:p>
    <w:p w14:paraId="6EFB01B1" w14:textId="0BD8A293" w:rsidR="00DA36B8" w:rsidRDefault="00DA36B8" w:rsidP="00DA36B8">
      <w:pPr>
        <w:spacing w:line="360" w:lineRule="auto"/>
        <w:jc w:val="both"/>
      </w:pPr>
      <w:r>
        <w:t xml:space="preserve">ŠIFRA 3 – </w:t>
      </w:r>
      <w:r w:rsidR="00364435">
        <w:t xml:space="preserve">povećanje </w:t>
      </w:r>
      <w:r>
        <w:t>rashod</w:t>
      </w:r>
      <w:r w:rsidR="00364435">
        <w:t>a</w:t>
      </w:r>
      <w:r>
        <w:t xml:space="preserve"> poslovanja </w:t>
      </w:r>
      <w:r w:rsidR="00364435">
        <w:t>najvećim dijelom rezultat je povećanja rashoda za zaposlene</w:t>
      </w:r>
      <w:r w:rsidR="00A768A4">
        <w:t>.</w:t>
      </w:r>
    </w:p>
    <w:p w14:paraId="2E7CC72F" w14:textId="77777777" w:rsidR="00DA36B8" w:rsidRDefault="00DA36B8" w:rsidP="00DA36B8">
      <w:pPr>
        <w:spacing w:line="360" w:lineRule="auto"/>
        <w:jc w:val="both"/>
      </w:pPr>
    </w:p>
    <w:p w14:paraId="03F21A0A" w14:textId="10E18E5D" w:rsidR="00DA36B8" w:rsidRDefault="00DA36B8" w:rsidP="00DA36B8">
      <w:pPr>
        <w:spacing w:line="360" w:lineRule="auto"/>
        <w:jc w:val="both"/>
      </w:pPr>
      <w:r>
        <w:t xml:space="preserve">ŠIFRA 311 – </w:t>
      </w:r>
      <w:r w:rsidR="00364435">
        <w:t xml:space="preserve">povećanje </w:t>
      </w:r>
      <w:r>
        <w:t>rashod</w:t>
      </w:r>
      <w:r w:rsidR="00364435">
        <w:t>a</w:t>
      </w:r>
      <w:r>
        <w:t xml:space="preserve"> za </w:t>
      </w:r>
      <w:r w:rsidR="00364435">
        <w:t xml:space="preserve">zaposlene rezultat je povećanja </w:t>
      </w:r>
      <w:r>
        <w:t>plać</w:t>
      </w:r>
      <w:r w:rsidR="00C25E46">
        <w:t>a</w:t>
      </w:r>
      <w:r w:rsidR="00364435">
        <w:t xml:space="preserve"> za zaposlene koji su ostvareni u izvještajnom razdoblju</w:t>
      </w:r>
      <w:r w:rsidR="00A768A4">
        <w:t>.</w:t>
      </w:r>
    </w:p>
    <w:p w14:paraId="79DD9B71" w14:textId="77777777" w:rsidR="00DA36B8" w:rsidRDefault="00DA36B8" w:rsidP="00DA36B8">
      <w:pPr>
        <w:spacing w:line="360" w:lineRule="auto"/>
        <w:jc w:val="both"/>
      </w:pPr>
    </w:p>
    <w:p w14:paraId="1D21CADD" w14:textId="381F38AA" w:rsidR="00DA36B8" w:rsidRDefault="00DA36B8" w:rsidP="00DA36B8">
      <w:pPr>
        <w:spacing w:line="360" w:lineRule="auto"/>
        <w:jc w:val="both"/>
      </w:pPr>
      <w:r>
        <w:t>ŠIFRA 3</w:t>
      </w:r>
      <w:r w:rsidR="00364435">
        <w:t>22</w:t>
      </w:r>
      <w:r>
        <w:t xml:space="preserve"> – smanjenje rashoda na ovoj poziciji rezultat je smanjenja rashoda za </w:t>
      </w:r>
      <w:r w:rsidR="00364435">
        <w:t xml:space="preserve">energiju najvećim dijelom zbog direktnih </w:t>
      </w:r>
      <w:r w:rsidR="00C25E46">
        <w:t>državnih subvencija potrošačima radi ublažavanja posljedica</w:t>
      </w:r>
      <w:r w:rsidR="00364435">
        <w:t xml:space="preserve"> zbog poremećaja na globalnom tržištu energenata</w:t>
      </w:r>
      <w:r w:rsidR="00A768A4">
        <w:t>.</w:t>
      </w:r>
    </w:p>
    <w:p w14:paraId="347041D9" w14:textId="77777777" w:rsidR="00DA36B8" w:rsidRDefault="00DA36B8" w:rsidP="00DA36B8">
      <w:pPr>
        <w:spacing w:line="360" w:lineRule="auto"/>
        <w:jc w:val="both"/>
      </w:pPr>
    </w:p>
    <w:p w14:paraId="519AF933" w14:textId="20CD920C" w:rsidR="00DA36B8" w:rsidRDefault="00DA36B8" w:rsidP="00DA36B8">
      <w:pPr>
        <w:spacing w:line="360" w:lineRule="auto"/>
        <w:jc w:val="both"/>
      </w:pPr>
      <w:r>
        <w:t>ŠIFRA 3</w:t>
      </w:r>
      <w:r w:rsidR="00C43BB3">
        <w:t>43</w:t>
      </w:r>
      <w:r>
        <w:t xml:space="preserve"> – </w:t>
      </w:r>
      <w:r w:rsidR="00C43BB3">
        <w:t>smanjenje</w:t>
      </w:r>
      <w:r>
        <w:t xml:space="preserve"> rashoda na ovoj poziciji rezultat je </w:t>
      </w:r>
      <w:r w:rsidR="00C43BB3">
        <w:t>smanjenja rashoda za zatezne kamate, u prethodnom izvještajnom razdoblju realizirane su pravomoćne sudske presude zbog tužbi zaposlenika radi isplate razlike plaća zbog čega je zabilježen značajan iznos zateznih kamata</w:t>
      </w:r>
      <w:r w:rsidR="00C25E46">
        <w:t xml:space="preserve"> stoga su zatezne kamate u tekućem izvještajnom razdoblju značajno smanjene</w:t>
      </w:r>
      <w:r w:rsidR="00A768A4">
        <w:t>.</w:t>
      </w:r>
    </w:p>
    <w:p w14:paraId="2062A354" w14:textId="77777777" w:rsidR="00DA36B8" w:rsidRDefault="00DA36B8" w:rsidP="00DA36B8">
      <w:pPr>
        <w:spacing w:line="360" w:lineRule="auto"/>
        <w:jc w:val="both"/>
      </w:pPr>
    </w:p>
    <w:p w14:paraId="032096F3" w14:textId="0968AA5C" w:rsidR="00DA36B8" w:rsidRDefault="00DA36B8" w:rsidP="00DA36B8">
      <w:pPr>
        <w:spacing w:line="360" w:lineRule="auto"/>
        <w:jc w:val="both"/>
      </w:pPr>
      <w:r>
        <w:t xml:space="preserve">ŠIFRA 4 – smanjenje rashoda rezultat je manjeg ulaganja u </w:t>
      </w:r>
      <w:r w:rsidR="00C43BB3">
        <w:t>nabavu opreme</w:t>
      </w:r>
      <w:r w:rsidR="00A768A4">
        <w:t>.</w:t>
      </w:r>
    </w:p>
    <w:p w14:paraId="4572532C" w14:textId="4DED8E08" w:rsidR="00C43BB3" w:rsidRDefault="00C43BB3" w:rsidP="00DA36B8">
      <w:pPr>
        <w:spacing w:line="360" w:lineRule="auto"/>
        <w:jc w:val="both"/>
      </w:pPr>
    </w:p>
    <w:p w14:paraId="2D6EBAF3" w14:textId="0F5C304A" w:rsidR="00C43BB3" w:rsidRDefault="00C43BB3" w:rsidP="00DA36B8">
      <w:pPr>
        <w:spacing w:line="360" w:lineRule="auto"/>
        <w:jc w:val="both"/>
      </w:pPr>
      <w:r>
        <w:t xml:space="preserve">ŠIFRA 422 – u tekućem izvještajnom razdoblju realizirana su ulaganja u uredsku opremu i namještaj u znatno manjem iznosu u odnosu na prethodno izvještajno razdoblje, u prethodnom </w:t>
      </w:r>
      <w:r>
        <w:lastRenderedPageBreak/>
        <w:t>izvještajnom razdoblju izvršeno je ulaganje u nabavu uredske opreme i namještaja radi opremanja dodatnog prostora za svakodnevni rad</w:t>
      </w:r>
      <w:r w:rsidR="00A768A4">
        <w:t>.</w:t>
      </w:r>
    </w:p>
    <w:p w14:paraId="144B9C0E" w14:textId="77777777" w:rsidR="00DA36B8" w:rsidRDefault="00DA36B8" w:rsidP="00DA36B8">
      <w:pPr>
        <w:spacing w:line="360" w:lineRule="auto"/>
        <w:jc w:val="both"/>
        <w:rPr>
          <w:b/>
        </w:rPr>
      </w:pPr>
    </w:p>
    <w:p w14:paraId="33AE8C45" w14:textId="77777777" w:rsidR="00DA36B8" w:rsidRDefault="00DA36B8" w:rsidP="00DA36B8">
      <w:pPr>
        <w:spacing w:line="360" w:lineRule="auto"/>
        <w:jc w:val="both"/>
        <w:rPr>
          <w:b/>
        </w:rPr>
      </w:pPr>
      <w:r>
        <w:rPr>
          <w:b/>
        </w:rPr>
        <w:t>BILJEŠKE UZ BILANCU (obrazac BIL)</w:t>
      </w:r>
    </w:p>
    <w:p w14:paraId="4A4812F9" w14:textId="77777777" w:rsidR="00DA36B8" w:rsidRDefault="00DA36B8" w:rsidP="00DA36B8">
      <w:pPr>
        <w:spacing w:line="360" w:lineRule="auto"/>
        <w:jc w:val="both"/>
      </w:pPr>
    </w:p>
    <w:p w14:paraId="4A0CC77A" w14:textId="0BA8859E" w:rsidR="00DA36B8" w:rsidRDefault="00DA36B8" w:rsidP="00DA36B8">
      <w:pPr>
        <w:spacing w:line="360" w:lineRule="auto"/>
        <w:jc w:val="both"/>
      </w:pPr>
      <w:r>
        <w:t xml:space="preserve">ŠIFRA B002 – </w:t>
      </w:r>
      <w:r w:rsidR="00C43BB3">
        <w:t xml:space="preserve">smanjenje </w:t>
      </w:r>
      <w:r w:rsidR="00050AAC">
        <w:t xml:space="preserve">vrijednosti </w:t>
      </w:r>
      <w:r w:rsidR="00C43BB3">
        <w:t xml:space="preserve">nefinancijske imovine rezultat je povećanja ispravka vrijednosti </w:t>
      </w:r>
      <w:r w:rsidR="00106F6B">
        <w:t>zbog rashoda proizvedene dugotrajne imovine</w:t>
      </w:r>
      <w:r w:rsidR="003005D2">
        <w:t>.</w:t>
      </w:r>
    </w:p>
    <w:p w14:paraId="237F80E8" w14:textId="6D811BB8" w:rsidR="00106F6B" w:rsidRDefault="00106F6B" w:rsidP="00DA36B8">
      <w:pPr>
        <w:spacing w:line="360" w:lineRule="auto"/>
        <w:jc w:val="both"/>
      </w:pPr>
    </w:p>
    <w:p w14:paraId="22081C8F" w14:textId="5B1AB1B9" w:rsidR="00DA36B8" w:rsidRDefault="00DA36B8" w:rsidP="00DA36B8">
      <w:pPr>
        <w:spacing w:line="360" w:lineRule="auto"/>
        <w:jc w:val="both"/>
      </w:pPr>
      <w:r>
        <w:t xml:space="preserve">ŠIFRA 1 – </w:t>
      </w:r>
      <w:r w:rsidR="00106F6B">
        <w:t>povećanje na ovoj poziciji je rezultat povećanja novčanih sredstava na računu u banci (šifra 111), povećanja potraživanja (šifra</w:t>
      </w:r>
      <w:r w:rsidR="00C25E46">
        <w:t xml:space="preserve"> </w:t>
      </w:r>
      <w:r w:rsidR="00106F6B">
        <w:t>165)</w:t>
      </w:r>
      <w:r w:rsidR="00C25E46">
        <w:t>,</w:t>
      </w:r>
      <w:r w:rsidR="00106F6B">
        <w:t xml:space="preserve"> te povećanja kontinuiranih rashoda budućih razdoblja koji su rezultat povećanja rashoda za zaposlene (šifra 183)</w:t>
      </w:r>
      <w:r w:rsidR="003005D2">
        <w:t>.</w:t>
      </w:r>
    </w:p>
    <w:p w14:paraId="2C3C54FF" w14:textId="77777777" w:rsidR="00DA36B8" w:rsidRDefault="00DA36B8" w:rsidP="00DA36B8">
      <w:pPr>
        <w:spacing w:line="360" w:lineRule="auto"/>
        <w:jc w:val="both"/>
      </w:pPr>
    </w:p>
    <w:p w14:paraId="21957336" w14:textId="5D6EF7D5" w:rsidR="00DA36B8" w:rsidRDefault="00DA36B8" w:rsidP="00DA36B8">
      <w:pPr>
        <w:spacing w:line="360" w:lineRule="auto"/>
        <w:jc w:val="both"/>
      </w:pPr>
      <w:r>
        <w:t>ŠIFRA 2 – povećanje ove pozicije rezultat je povećanja obveza za zaposlene</w:t>
      </w:r>
      <w:r w:rsidR="00050AAC">
        <w:t xml:space="preserve"> zbog povećanja plaća za zaposlene (šifra 231), promjene na ostalim pozicijama nemaju značajniji utjecaj</w:t>
      </w:r>
      <w:r w:rsidR="003005D2">
        <w:t>.</w:t>
      </w:r>
    </w:p>
    <w:p w14:paraId="7D719769" w14:textId="77777777" w:rsidR="00DA36B8" w:rsidRDefault="00DA36B8" w:rsidP="00DA36B8">
      <w:pPr>
        <w:spacing w:line="360" w:lineRule="auto"/>
        <w:jc w:val="both"/>
      </w:pPr>
    </w:p>
    <w:p w14:paraId="09CA8B36" w14:textId="05269B92" w:rsidR="00DA36B8" w:rsidRDefault="00DA36B8" w:rsidP="00DA36B8">
      <w:pPr>
        <w:spacing w:line="360" w:lineRule="auto"/>
        <w:jc w:val="both"/>
      </w:pPr>
      <w:r>
        <w:t>ŠIFRA 9 – smanjenje</w:t>
      </w:r>
      <w:r w:rsidR="00050AAC">
        <w:t xml:space="preserve"> vlastitih izvora rezultat je smanjenja vrijednosti imovine uslijed povećanja ispravka vrijednosti nefinancijske imovine zbog rashoda (šifra 911), također zbog pokretanja novih studijskih programa obračunski prihod u izvještajnom razdoblju veći su u odnosu na prethodno izvještajno razdoblje (šifra 96)</w:t>
      </w:r>
      <w:r w:rsidR="003005D2">
        <w:t>.</w:t>
      </w:r>
    </w:p>
    <w:p w14:paraId="3A4B5808" w14:textId="77777777" w:rsidR="00DA36B8" w:rsidRPr="0081061B" w:rsidRDefault="00DA36B8" w:rsidP="00DA36B8">
      <w:pPr>
        <w:spacing w:line="360" w:lineRule="auto"/>
        <w:jc w:val="both"/>
        <w:rPr>
          <w:iCs/>
        </w:rPr>
      </w:pPr>
    </w:p>
    <w:p w14:paraId="41220E1D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RAS-funkcijski</w:t>
      </w:r>
    </w:p>
    <w:p w14:paraId="52844779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</w:p>
    <w:p w14:paraId="37B6DE19" w14:textId="352AE6D0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ŠIFRA 09 – u izvještajnom obrascu prikazani su rashodi i izdaci za obrazovanje prema funkcijskoj klasifikaciji, rashodi i izdaci su prikazani na način da su razvrstani prema stupnju visoke naobrazbe, a posebno su izdvojeni rashodi i izdaci za istraživanje i razvoj</w:t>
      </w:r>
      <w:r w:rsidR="00050AAC">
        <w:rPr>
          <w:color w:val="000000" w:themeColor="text1"/>
        </w:rPr>
        <w:t xml:space="preserve">, ukupan indeks povećanja tekućega izvještajnog razdoblja u odnosu na prethodno izvještajno razdoblje rezultat je povećanja rashoda poslovanja i smanjenja rashoda za nabavu nefinancijske imovine, detaljnije obrazloženje ovih pozicija može se vidjeti u </w:t>
      </w:r>
      <w:r w:rsidR="00AC593F">
        <w:rPr>
          <w:color w:val="000000" w:themeColor="text1"/>
        </w:rPr>
        <w:t>bilješkama uz obrazac PR-RAS</w:t>
      </w:r>
      <w:r w:rsidR="003005D2">
        <w:rPr>
          <w:color w:val="000000" w:themeColor="text1"/>
        </w:rPr>
        <w:t>.</w:t>
      </w:r>
    </w:p>
    <w:p w14:paraId="7D73498F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</w:p>
    <w:p w14:paraId="4AD9E30B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P-VRIO</w:t>
      </w:r>
    </w:p>
    <w:p w14:paraId="23E7ECA6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</w:p>
    <w:p w14:paraId="053C7D87" w14:textId="5D904FD9" w:rsidR="00C861F0" w:rsidRDefault="00C861F0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ŠIFRA P003 – ostvareno smanjenje proizvedene dugotrajne imovine odnosi se na umanjenje sadašnje vrijednosti imovine sukladno prijedlogu popisnog povjerenstva za rashod proizvedene dugotrajne imovine na dan 31. 12. 2023. godine.</w:t>
      </w:r>
    </w:p>
    <w:p w14:paraId="136E5301" w14:textId="7CA847B5" w:rsidR="00DA36B8" w:rsidRDefault="00DA36B8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ŠIFRA </w:t>
      </w:r>
      <w:r w:rsidR="00AC593F">
        <w:rPr>
          <w:color w:val="000000" w:themeColor="text1"/>
        </w:rPr>
        <w:t>P018</w:t>
      </w:r>
      <w:r>
        <w:rPr>
          <w:color w:val="000000" w:themeColor="text1"/>
        </w:rPr>
        <w:t xml:space="preserve"> – ostvareno povećanje proizvedene dugotrajne imovine </w:t>
      </w:r>
      <w:r w:rsidR="00AC593F">
        <w:rPr>
          <w:color w:val="000000" w:themeColor="text1"/>
        </w:rPr>
        <w:t xml:space="preserve">odnosi se na knjige primljene u vlasništvo </w:t>
      </w:r>
      <w:r>
        <w:rPr>
          <w:color w:val="000000" w:themeColor="text1"/>
        </w:rPr>
        <w:t xml:space="preserve">od </w:t>
      </w:r>
      <w:r w:rsidR="00AC593F">
        <w:rPr>
          <w:color w:val="000000" w:themeColor="text1"/>
        </w:rPr>
        <w:t>Ministarstva znanosti i obrazovanja (natječaj za otkup knjiga) i donacij</w:t>
      </w:r>
      <w:r w:rsidR="003005D2">
        <w:rPr>
          <w:color w:val="000000" w:themeColor="text1"/>
        </w:rPr>
        <w:t>e</w:t>
      </w:r>
      <w:r w:rsidR="00AC593F">
        <w:rPr>
          <w:color w:val="000000" w:themeColor="text1"/>
        </w:rPr>
        <w:t xml:space="preserve"> knjiga od drugih pojedinaca ili ustanova, smanjenje na ovoj poziciji odnosi se na prijenos računala drugom korisniku koji je realiziran u tekućem izvještajnom razdoblju u svrhu </w:t>
      </w:r>
      <w:r w:rsidR="00A768A4">
        <w:rPr>
          <w:color w:val="000000" w:themeColor="text1"/>
        </w:rPr>
        <w:t>poboljšanja</w:t>
      </w:r>
      <w:r w:rsidR="00AC593F">
        <w:rPr>
          <w:color w:val="000000" w:themeColor="text1"/>
        </w:rPr>
        <w:t xml:space="preserve"> obrazovnog procesa u partnerskoj ustanovi</w:t>
      </w:r>
      <w:r w:rsidR="00A768A4">
        <w:rPr>
          <w:color w:val="000000" w:themeColor="text1"/>
        </w:rPr>
        <w:t>.</w:t>
      </w:r>
    </w:p>
    <w:p w14:paraId="0A7317C5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7C63A233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BILJEŠKE UZ OBRAZAC OBVEZE</w:t>
      </w:r>
    </w:p>
    <w:p w14:paraId="1552833A" w14:textId="77777777" w:rsidR="00DA36B8" w:rsidRDefault="00DA36B8" w:rsidP="00DA36B8">
      <w:pPr>
        <w:spacing w:line="360" w:lineRule="auto"/>
        <w:jc w:val="both"/>
        <w:rPr>
          <w:b/>
          <w:color w:val="000000" w:themeColor="text1"/>
        </w:rPr>
      </w:pPr>
    </w:p>
    <w:p w14:paraId="198115EC" w14:textId="4EE81F66" w:rsidR="00DA36B8" w:rsidRDefault="00DA36B8" w:rsidP="00DA36B8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ŠIFRA V006 – </w:t>
      </w:r>
      <w:r w:rsidR="00AC593F">
        <w:rPr>
          <w:color w:val="000000" w:themeColor="text1"/>
        </w:rPr>
        <w:t>usporedbom stanja obveza na početku i na kraju izvještajnog razdoblja može se vidjeti da su obveze povećane, povećanje je rezultat povećanja obveza za zaposlene</w:t>
      </w:r>
      <w:r w:rsidR="0081061B">
        <w:rPr>
          <w:color w:val="000000" w:themeColor="text1"/>
        </w:rPr>
        <w:t>, t</w:t>
      </w:r>
      <w:r>
        <w:rPr>
          <w:color w:val="000000" w:themeColor="text1"/>
        </w:rPr>
        <w:t xml:space="preserve">ijekom izvještajnog razdoblja zadržan </w:t>
      </w:r>
      <w:r w:rsidR="00A768A4">
        <w:rPr>
          <w:color w:val="000000" w:themeColor="text1"/>
        </w:rPr>
        <w:t xml:space="preserve">je </w:t>
      </w:r>
      <w:r>
        <w:rPr>
          <w:color w:val="000000" w:themeColor="text1"/>
        </w:rPr>
        <w:t>kontinuitet podmirenja preuzetih obveza, preuzete obveze izvršavaju se na vrijeme, nema dospjelih obveza,</w:t>
      </w:r>
      <w:r w:rsidR="00A768A4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za preuzete obveze osigurani su prihodi za podmirenje istih</w:t>
      </w:r>
      <w:r w:rsidR="00A768A4">
        <w:rPr>
          <w:color w:val="000000" w:themeColor="text1"/>
        </w:rPr>
        <w:t>.</w:t>
      </w:r>
    </w:p>
    <w:p w14:paraId="00908EB6" w14:textId="44BF869A" w:rsidR="0081061B" w:rsidRDefault="0081061B" w:rsidP="00DA36B8">
      <w:pPr>
        <w:spacing w:line="360" w:lineRule="auto"/>
        <w:jc w:val="both"/>
        <w:rPr>
          <w:color w:val="000000" w:themeColor="text1"/>
        </w:rPr>
      </w:pPr>
    </w:p>
    <w:p w14:paraId="029B9B6A" w14:textId="0E2031D9" w:rsidR="0081061B" w:rsidRDefault="0081061B" w:rsidP="00DA36B8">
      <w:pPr>
        <w:spacing w:line="360" w:lineRule="auto"/>
        <w:jc w:val="both"/>
        <w:rPr>
          <w:b/>
          <w:bCs/>
          <w:color w:val="000000" w:themeColor="text1"/>
        </w:rPr>
      </w:pPr>
      <w:r w:rsidRPr="0081061B">
        <w:rPr>
          <w:b/>
          <w:bCs/>
          <w:color w:val="000000" w:themeColor="text1"/>
        </w:rPr>
        <w:t>BILJEŠKE UZ IZVANBILANČNE ZAPISE</w:t>
      </w:r>
    </w:p>
    <w:p w14:paraId="042507C9" w14:textId="77777777" w:rsidR="00A768A4" w:rsidRDefault="00A768A4" w:rsidP="00A768A4">
      <w:pPr>
        <w:spacing w:line="276" w:lineRule="auto"/>
        <w:jc w:val="both"/>
        <w:rPr>
          <w:b/>
          <w:bCs/>
          <w:color w:val="000000" w:themeColor="text1"/>
        </w:rPr>
      </w:pPr>
    </w:p>
    <w:p w14:paraId="5810772F" w14:textId="77777777" w:rsidR="0081061B" w:rsidRPr="0081061B" w:rsidRDefault="0081061B" w:rsidP="00A768A4">
      <w:pPr>
        <w:spacing w:line="276" w:lineRule="auto"/>
        <w:ind w:firstLine="708"/>
        <w:rPr>
          <w:b/>
          <w:iCs/>
          <w:color w:val="000000" w:themeColor="text1"/>
        </w:rPr>
      </w:pPr>
      <w:r w:rsidRPr="0081061B">
        <w:rPr>
          <w:b/>
          <w:iCs/>
          <w:color w:val="000000" w:themeColor="text1"/>
        </w:rPr>
        <w:t>Popis sudskih sporova u tijeku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47"/>
        <w:gridCol w:w="1270"/>
        <w:gridCol w:w="1701"/>
        <w:gridCol w:w="1022"/>
        <w:gridCol w:w="1157"/>
        <w:gridCol w:w="1358"/>
        <w:gridCol w:w="1135"/>
      </w:tblGrid>
      <w:tr w:rsidR="0081061B" w:rsidRPr="0081061B" w14:paraId="38475DAC" w14:textId="77777777" w:rsidTr="00A768A4">
        <w:trPr>
          <w:trHeight w:val="73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30DA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Red. Br.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C873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Tuženik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D8E4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Tužitelj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912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Sažeti opis prirode spora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8401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Iznos</w:t>
            </w:r>
          </w:p>
          <w:p w14:paraId="0A1F6632" w14:textId="2D9C1265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Glavnice</w:t>
            </w:r>
          </w:p>
          <w:p w14:paraId="31C7D363" w14:textId="15B5F66E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(eura)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3935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Procjena</w:t>
            </w:r>
          </w:p>
          <w:p w14:paraId="15708198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financijskog</w:t>
            </w:r>
          </w:p>
          <w:p w14:paraId="182867CF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učinka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1D87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Procijenjeno vrijeme odljeva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C020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Početak sudskog spora</w:t>
            </w:r>
          </w:p>
        </w:tc>
      </w:tr>
      <w:tr w:rsidR="0081061B" w:rsidRPr="0081061B" w14:paraId="704B7656" w14:textId="77777777" w:rsidTr="00A768A4">
        <w:trPr>
          <w:trHeight w:val="33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55B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0DAD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Fakultet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99D7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Fizička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77A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Isplata razlike plaće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19E8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1.360,81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90CE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92A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A14A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17.12.2020.</w:t>
            </w:r>
          </w:p>
        </w:tc>
      </w:tr>
      <w:tr w:rsidR="0081061B" w:rsidRPr="0081061B" w14:paraId="6C30E802" w14:textId="77777777" w:rsidTr="00A768A4">
        <w:trPr>
          <w:trHeight w:val="27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B502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9A1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Fakultet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CF68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Fizička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7B0E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Isplata razlike plaće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C3B8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29.561,81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898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F563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AC76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24.11.2022.</w:t>
            </w:r>
          </w:p>
        </w:tc>
      </w:tr>
    </w:tbl>
    <w:p w14:paraId="2B4176F6" w14:textId="77777777" w:rsidR="0081061B" w:rsidRDefault="0081061B" w:rsidP="00A768A4">
      <w:pPr>
        <w:spacing w:line="276" w:lineRule="auto"/>
        <w:ind w:left="708"/>
        <w:jc w:val="both"/>
        <w:rPr>
          <w:b/>
          <w:i/>
          <w:color w:val="000000" w:themeColor="text1"/>
        </w:rPr>
      </w:pPr>
    </w:p>
    <w:p w14:paraId="2DDBF89D" w14:textId="77777777" w:rsidR="0081061B" w:rsidRPr="0081061B" w:rsidRDefault="0081061B" w:rsidP="00A768A4">
      <w:pPr>
        <w:spacing w:line="276" w:lineRule="auto"/>
        <w:ind w:left="708"/>
        <w:jc w:val="both"/>
        <w:rPr>
          <w:b/>
          <w:iCs/>
          <w:color w:val="000000" w:themeColor="text1"/>
        </w:rPr>
      </w:pPr>
      <w:r w:rsidRPr="0081061B">
        <w:rPr>
          <w:b/>
          <w:iCs/>
          <w:color w:val="000000" w:themeColor="text1"/>
        </w:rPr>
        <w:t xml:space="preserve">Popis </w:t>
      </w:r>
      <w:r>
        <w:rPr>
          <w:b/>
          <w:iCs/>
          <w:color w:val="000000" w:themeColor="text1"/>
        </w:rPr>
        <w:t>danih instrumenata osiguranja plaćanja</w:t>
      </w: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630"/>
        <w:gridCol w:w="1408"/>
        <w:gridCol w:w="1087"/>
        <w:gridCol w:w="1021"/>
        <w:gridCol w:w="1064"/>
        <w:gridCol w:w="1006"/>
        <w:gridCol w:w="2329"/>
        <w:gridCol w:w="806"/>
      </w:tblGrid>
      <w:tr w:rsidR="0081061B" w:rsidRPr="0081061B" w14:paraId="25E47283" w14:textId="77777777" w:rsidTr="00A768A4">
        <w:trPr>
          <w:trHeight w:val="6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65D7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Red. Br.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DBE5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Datum</w:t>
            </w:r>
          </w:p>
          <w:p w14:paraId="6538C485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Izdavanja/</w:t>
            </w:r>
          </w:p>
          <w:p w14:paraId="4DD80479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Primanja</w:t>
            </w:r>
          </w:p>
          <w:p w14:paraId="73306DD8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jamstva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FA25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Instrument</w:t>
            </w:r>
          </w:p>
          <w:p w14:paraId="3B732EE4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Osiguranja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A7E8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Iznos</w:t>
            </w:r>
          </w:p>
          <w:p w14:paraId="4CDAA550" w14:textId="6CAC0536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(eura)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C8A6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Primatelj/</w:t>
            </w:r>
          </w:p>
          <w:p w14:paraId="0192794D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davatelj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2F26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Namjena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BD24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Dokument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E884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Rok</w:t>
            </w:r>
          </w:p>
          <w:p w14:paraId="1F51F303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važenja</w:t>
            </w:r>
          </w:p>
        </w:tc>
      </w:tr>
      <w:tr w:rsidR="0081061B" w:rsidRPr="0081061B" w14:paraId="07D07347" w14:textId="77777777" w:rsidTr="00A768A4">
        <w:trPr>
          <w:trHeight w:val="5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DCD0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ED81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10. 12. 2015.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54D0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Zadužnica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9F6E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663,61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2025" w14:textId="77777777" w:rsidR="0081061B" w:rsidRPr="00A768A4" w:rsidRDefault="0081061B" w:rsidP="00A768A4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768A4">
              <w:rPr>
                <w:color w:val="000000" w:themeColor="text1"/>
                <w:sz w:val="16"/>
                <w:szCs w:val="16"/>
              </w:rPr>
              <w:t>Hrvatske</w:t>
            </w:r>
          </w:p>
          <w:p w14:paraId="3D4DE81E" w14:textId="5574D31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768A4">
              <w:rPr>
                <w:color w:val="000000" w:themeColor="text1"/>
                <w:sz w:val="16"/>
                <w:szCs w:val="16"/>
              </w:rPr>
              <w:t>Šume</w:t>
            </w:r>
            <w:r w:rsidR="00A768A4" w:rsidRPr="00A768A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768A4">
              <w:rPr>
                <w:color w:val="000000" w:themeColor="text1"/>
                <w:sz w:val="16"/>
                <w:szCs w:val="16"/>
              </w:rPr>
              <w:t>d.o.o.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379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Osiguranje plaćanja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7B39" w14:textId="77777777" w:rsidR="0081061B" w:rsidRPr="00A768A4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768A4">
              <w:rPr>
                <w:color w:val="000000" w:themeColor="text1"/>
                <w:sz w:val="18"/>
                <w:szCs w:val="18"/>
              </w:rPr>
              <w:t>KLASA: 406-01/15-01/13, URBROJ: 2158-158-01-15-3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13B2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10 godina</w:t>
            </w:r>
          </w:p>
        </w:tc>
      </w:tr>
      <w:tr w:rsidR="0081061B" w:rsidRPr="0081061B" w14:paraId="5D61D71C" w14:textId="77777777" w:rsidTr="00A768A4">
        <w:trPr>
          <w:trHeight w:val="45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1593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9DBE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5. 1. 2015.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46BC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Mjenica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636D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5.3308,91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313B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1061B">
              <w:rPr>
                <w:color w:val="000000" w:themeColor="text1"/>
                <w:sz w:val="18"/>
                <w:szCs w:val="18"/>
              </w:rPr>
              <w:t>Addiko</w:t>
            </w:r>
            <w:proofErr w:type="spellEnd"/>
            <w:r w:rsidRPr="008106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061B">
              <w:rPr>
                <w:color w:val="000000" w:themeColor="text1"/>
                <w:sz w:val="18"/>
                <w:szCs w:val="18"/>
              </w:rPr>
              <w:t>bank</w:t>
            </w:r>
            <w:proofErr w:type="spellEnd"/>
            <w:r w:rsidRPr="0081061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061B">
              <w:rPr>
                <w:color w:val="000000" w:themeColor="text1"/>
                <w:sz w:val="18"/>
                <w:szCs w:val="18"/>
              </w:rPr>
              <w:t>d.d</w:t>
            </w:r>
            <w:proofErr w:type="spellEnd"/>
            <w:r w:rsidRPr="0081061B">
              <w:rPr>
                <w:color w:val="000000" w:themeColor="text1"/>
                <w:sz w:val="18"/>
                <w:szCs w:val="18"/>
              </w:rPr>
              <w:t>,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55BC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Osiguranje</w:t>
            </w:r>
          </w:p>
          <w:p w14:paraId="4D0AFB11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plaćanja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A0F9" w14:textId="77777777" w:rsidR="00A768A4" w:rsidRPr="00A768A4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768A4">
              <w:rPr>
                <w:color w:val="000000" w:themeColor="text1"/>
                <w:sz w:val="18"/>
                <w:szCs w:val="18"/>
              </w:rPr>
              <w:t>KLASA: 402-01/15-01/12,</w:t>
            </w:r>
          </w:p>
          <w:p w14:paraId="394E9910" w14:textId="0AE61A5A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768A4">
              <w:rPr>
                <w:color w:val="000000" w:themeColor="text1"/>
                <w:sz w:val="18"/>
                <w:szCs w:val="18"/>
              </w:rPr>
              <w:t>URBROJ: 2158-158-01-15-1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C525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D862FA2" w14:textId="77777777" w:rsidR="0081061B" w:rsidRDefault="0081061B" w:rsidP="00A768A4">
      <w:pPr>
        <w:spacing w:line="276" w:lineRule="auto"/>
        <w:jc w:val="both"/>
        <w:rPr>
          <w:color w:val="000000" w:themeColor="text1"/>
        </w:rPr>
      </w:pPr>
    </w:p>
    <w:p w14:paraId="6FDE00E3" w14:textId="77777777" w:rsidR="0081061B" w:rsidRPr="0081061B" w:rsidRDefault="0081061B" w:rsidP="00A768A4">
      <w:pPr>
        <w:pStyle w:val="Odlomakpopisa"/>
        <w:spacing w:line="276" w:lineRule="auto"/>
        <w:ind w:left="720"/>
        <w:rPr>
          <w:b/>
          <w:bCs/>
          <w:color w:val="000000" w:themeColor="text1"/>
        </w:rPr>
      </w:pPr>
      <w:r w:rsidRPr="0081061B">
        <w:rPr>
          <w:b/>
          <w:bCs/>
          <w:color w:val="000000" w:themeColor="text1"/>
        </w:rPr>
        <w:t>Popis tuđe imovine dobivene na korištenje</w:t>
      </w:r>
    </w:p>
    <w:tbl>
      <w:tblPr>
        <w:tblStyle w:val="Reetkatablice"/>
        <w:tblW w:w="9067" w:type="dxa"/>
        <w:jc w:val="center"/>
        <w:tblLook w:val="04A0" w:firstRow="1" w:lastRow="0" w:firstColumn="1" w:lastColumn="0" w:noHBand="0" w:noVBand="1"/>
      </w:tblPr>
      <w:tblGrid>
        <w:gridCol w:w="611"/>
        <w:gridCol w:w="2530"/>
        <w:gridCol w:w="1366"/>
        <w:gridCol w:w="2859"/>
        <w:gridCol w:w="1701"/>
      </w:tblGrid>
      <w:tr w:rsidR="0081061B" w:rsidRPr="0081061B" w14:paraId="1085FBD0" w14:textId="77777777" w:rsidTr="0081061B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32D4F6A8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Red. Br.</w:t>
            </w:r>
          </w:p>
        </w:tc>
        <w:tc>
          <w:tcPr>
            <w:tcW w:w="2530" w:type="dxa"/>
            <w:shd w:val="clear" w:color="auto" w:fill="auto"/>
            <w:vAlign w:val="center"/>
          </w:tcPr>
          <w:p w14:paraId="2F075DFA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Opis imovine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CB2C792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Vrijednost</w:t>
            </w:r>
          </w:p>
          <w:p w14:paraId="48AD1C95" w14:textId="1D09E25E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(eura)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42E5506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Dokument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0994C" w14:textId="77777777" w:rsidR="0081061B" w:rsidRPr="0081061B" w:rsidRDefault="0081061B" w:rsidP="00A768A4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061B">
              <w:rPr>
                <w:b/>
                <w:color w:val="000000" w:themeColor="text1"/>
                <w:sz w:val="18"/>
                <w:szCs w:val="18"/>
              </w:rPr>
              <w:t>Napomena</w:t>
            </w:r>
          </w:p>
        </w:tc>
      </w:tr>
      <w:tr w:rsidR="0081061B" w:rsidRPr="0081061B" w14:paraId="077F3A4A" w14:textId="77777777" w:rsidTr="009978AD">
        <w:trPr>
          <w:jc w:val="center"/>
        </w:trPr>
        <w:tc>
          <w:tcPr>
            <w:tcW w:w="611" w:type="dxa"/>
            <w:vAlign w:val="center"/>
          </w:tcPr>
          <w:p w14:paraId="7F1A1022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30" w:type="dxa"/>
            <w:vAlign w:val="center"/>
          </w:tcPr>
          <w:p w14:paraId="25E9E3AF" w14:textId="5465010C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Zgrada br. 6</w:t>
            </w:r>
            <w:r w:rsidR="00A768A4">
              <w:rPr>
                <w:color w:val="000000" w:themeColor="text1"/>
                <w:sz w:val="18"/>
                <w:szCs w:val="18"/>
              </w:rPr>
              <w:t>,</w:t>
            </w:r>
            <w:r w:rsidRPr="0081061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8D089D1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 xml:space="preserve">Sveučilišni </w:t>
            </w:r>
            <w:proofErr w:type="spellStart"/>
            <w:r w:rsidRPr="0081061B">
              <w:rPr>
                <w:color w:val="000000" w:themeColor="text1"/>
                <w:sz w:val="18"/>
                <w:szCs w:val="18"/>
              </w:rPr>
              <w:t>campus</w:t>
            </w:r>
            <w:proofErr w:type="spellEnd"/>
          </w:p>
        </w:tc>
        <w:tc>
          <w:tcPr>
            <w:tcW w:w="1366" w:type="dxa"/>
            <w:vAlign w:val="center"/>
          </w:tcPr>
          <w:p w14:paraId="1343D738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1.621.653,67</w:t>
            </w:r>
          </w:p>
        </w:tc>
        <w:tc>
          <w:tcPr>
            <w:tcW w:w="2859" w:type="dxa"/>
            <w:vAlign w:val="center"/>
          </w:tcPr>
          <w:p w14:paraId="2CA42CFA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KLASA: 406-01/13-01/4, URBROJ: 2158-158-01-13-2</w:t>
            </w:r>
          </w:p>
        </w:tc>
        <w:tc>
          <w:tcPr>
            <w:tcW w:w="1701" w:type="dxa"/>
            <w:vAlign w:val="center"/>
          </w:tcPr>
          <w:p w14:paraId="315E3E0D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1061B" w:rsidRPr="0081061B" w14:paraId="1A058823" w14:textId="77777777" w:rsidTr="009978AD">
        <w:trPr>
          <w:jc w:val="center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36EBD9E3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112AB5D" w14:textId="41E6187A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Zgrada br. 9</w:t>
            </w:r>
            <w:r w:rsidR="00A768A4">
              <w:rPr>
                <w:color w:val="000000" w:themeColor="text1"/>
                <w:sz w:val="18"/>
                <w:szCs w:val="18"/>
              </w:rPr>
              <w:t>,</w:t>
            </w:r>
            <w:r w:rsidRPr="0081061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444D6B8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 xml:space="preserve">Sveučilišni </w:t>
            </w:r>
            <w:proofErr w:type="spellStart"/>
            <w:r w:rsidRPr="0081061B">
              <w:rPr>
                <w:color w:val="000000" w:themeColor="text1"/>
                <w:sz w:val="18"/>
                <w:szCs w:val="18"/>
              </w:rPr>
              <w:t>campus</w:t>
            </w:r>
            <w:proofErr w:type="spellEnd"/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2FEE12B5" w14:textId="77777777" w:rsidR="0081061B" w:rsidRPr="0081061B" w:rsidRDefault="0081061B" w:rsidP="00A768A4">
            <w:pPr>
              <w:spacing w:line="276" w:lineRule="auto"/>
              <w:jc w:val="right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5.029.115,28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5B5076A1" w14:textId="77777777" w:rsidR="0081061B" w:rsidRPr="0081061B" w:rsidRDefault="0081061B" w:rsidP="00A768A4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KLASA: 406-01/13-01/4, URBROJ: 2158-158-01-13-2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3E644" w14:textId="77777777" w:rsidR="0081061B" w:rsidRPr="0081061B" w:rsidRDefault="0081061B" w:rsidP="00A768A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1061B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3AB7C1EE" w14:textId="4002E190" w:rsidR="00A768A4" w:rsidRDefault="00A768A4" w:rsidP="00A768A4">
      <w:pPr>
        <w:spacing w:line="276" w:lineRule="auto"/>
        <w:ind w:left="5664" w:firstLine="708"/>
        <w:jc w:val="both"/>
        <w:rPr>
          <w:b/>
          <w:color w:val="000000" w:themeColor="text1"/>
        </w:rPr>
      </w:pPr>
    </w:p>
    <w:p w14:paraId="0789CCB6" w14:textId="4A217C0C" w:rsidR="00DA36B8" w:rsidRDefault="00DA36B8" w:rsidP="00DA36B8">
      <w:pPr>
        <w:spacing w:line="360" w:lineRule="auto"/>
        <w:ind w:left="5664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DEKANICA</w:t>
      </w:r>
    </w:p>
    <w:p w14:paraId="0A3C2DD3" w14:textId="36978C05" w:rsidR="00B0354C" w:rsidRDefault="00DA36B8" w:rsidP="00A768A4">
      <w:pPr>
        <w:spacing w:line="360" w:lineRule="auto"/>
        <w:ind w:left="4956" w:firstLine="708"/>
        <w:jc w:val="both"/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color w:val="000000" w:themeColor="text1"/>
        </w:rPr>
        <w:t xml:space="preserve">prof. dr. sc. Emina </w:t>
      </w:r>
      <w:proofErr w:type="spellStart"/>
      <w:r>
        <w:rPr>
          <w:color w:val="000000" w:themeColor="text1"/>
        </w:rPr>
        <w:t>Berbić</w:t>
      </w:r>
      <w:proofErr w:type="spellEnd"/>
      <w:r>
        <w:rPr>
          <w:color w:val="000000" w:themeColor="text1"/>
        </w:rPr>
        <w:t xml:space="preserve"> Kolar</w:t>
      </w:r>
    </w:p>
    <w:sectPr w:rsidR="00B035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AD9B" w14:textId="77777777" w:rsidR="00331983" w:rsidRDefault="00331983" w:rsidP="00A768A4">
      <w:r>
        <w:separator/>
      </w:r>
    </w:p>
  </w:endnote>
  <w:endnote w:type="continuationSeparator" w:id="0">
    <w:p w14:paraId="69BA52D9" w14:textId="77777777" w:rsidR="00331983" w:rsidRDefault="00331983" w:rsidP="00A7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11491"/>
      <w:docPartObj>
        <w:docPartGallery w:val="Page Numbers (Bottom of Page)"/>
        <w:docPartUnique/>
      </w:docPartObj>
    </w:sdtPr>
    <w:sdtEndPr/>
    <w:sdtContent>
      <w:p w14:paraId="2BBA26CC" w14:textId="07DE3EA9" w:rsidR="00A768A4" w:rsidRDefault="00A768A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B8563D" w14:textId="77777777" w:rsidR="00A768A4" w:rsidRDefault="00A768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DE1D" w14:textId="77777777" w:rsidR="00331983" w:rsidRDefault="00331983" w:rsidP="00A768A4">
      <w:r>
        <w:separator/>
      </w:r>
    </w:p>
  </w:footnote>
  <w:footnote w:type="continuationSeparator" w:id="0">
    <w:p w14:paraId="76FFFA4F" w14:textId="77777777" w:rsidR="00331983" w:rsidRDefault="00331983" w:rsidP="00A7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CD"/>
    <w:multiLevelType w:val="hybridMultilevel"/>
    <w:tmpl w:val="653640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51B9"/>
    <w:multiLevelType w:val="hybridMultilevel"/>
    <w:tmpl w:val="8410C550"/>
    <w:lvl w:ilvl="0" w:tplc="FC32C3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9268BB"/>
    <w:multiLevelType w:val="hybridMultilevel"/>
    <w:tmpl w:val="0D409B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6EEE"/>
    <w:multiLevelType w:val="hybridMultilevel"/>
    <w:tmpl w:val="F4667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6530"/>
    <w:multiLevelType w:val="hybridMultilevel"/>
    <w:tmpl w:val="F5928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0420D"/>
    <w:rsid w:val="0004027B"/>
    <w:rsid w:val="00050AAC"/>
    <w:rsid w:val="000808ED"/>
    <w:rsid w:val="00084783"/>
    <w:rsid w:val="000D1861"/>
    <w:rsid w:val="00106F6B"/>
    <w:rsid w:val="001E769B"/>
    <w:rsid w:val="003005D2"/>
    <w:rsid w:val="00331983"/>
    <w:rsid w:val="00343D51"/>
    <w:rsid w:val="00364435"/>
    <w:rsid w:val="004021C8"/>
    <w:rsid w:val="004A3A34"/>
    <w:rsid w:val="004F2B41"/>
    <w:rsid w:val="00627D69"/>
    <w:rsid w:val="006A603F"/>
    <w:rsid w:val="007072C4"/>
    <w:rsid w:val="00723C56"/>
    <w:rsid w:val="007C42EA"/>
    <w:rsid w:val="007D0038"/>
    <w:rsid w:val="0081061B"/>
    <w:rsid w:val="008B75AE"/>
    <w:rsid w:val="00973D9E"/>
    <w:rsid w:val="009E036E"/>
    <w:rsid w:val="00A6496F"/>
    <w:rsid w:val="00A768A4"/>
    <w:rsid w:val="00AC593F"/>
    <w:rsid w:val="00B0354C"/>
    <w:rsid w:val="00C25E46"/>
    <w:rsid w:val="00C43BB3"/>
    <w:rsid w:val="00C861F0"/>
    <w:rsid w:val="00DA36B8"/>
    <w:rsid w:val="00EA755B"/>
    <w:rsid w:val="00EC6517"/>
    <w:rsid w:val="00ED0E2D"/>
    <w:rsid w:val="00F5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DC97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uiPriority w:val="39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72C4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72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2C4"/>
    <w:rPr>
      <w:rFonts w:ascii="Segoe UI" w:eastAsia="Times New Roman" w:hAnsi="Segoe UI" w:cs="Segoe UI"/>
      <w:sz w:val="18"/>
      <w:szCs w:val="18"/>
      <w:lang w:eastAsia="hr-HR"/>
    </w:rPr>
  </w:style>
  <w:style w:type="character" w:styleId="Naslovknjige">
    <w:name w:val="Book Title"/>
    <w:uiPriority w:val="33"/>
    <w:qFormat/>
    <w:rsid w:val="00343D51"/>
    <w:rPr>
      <w:b/>
      <w:bCs/>
      <w:smallCaps/>
      <w:spacing w:val="5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43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43D51"/>
    <w:rPr>
      <w:rFonts w:ascii="Courier New" w:eastAsia="Times New Roman" w:hAnsi="Courier New" w:cs="Courier New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768A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8A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lpdesk@foo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rajina@foo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A666-43C5-4207-9C25-3BE3798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24</cp:revision>
  <cp:lastPrinted>2024-01-29T07:50:00Z</cp:lastPrinted>
  <dcterms:created xsi:type="dcterms:W3CDTF">2023-04-26T07:15:00Z</dcterms:created>
  <dcterms:modified xsi:type="dcterms:W3CDTF">2024-01-29T07:50:00Z</dcterms:modified>
</cp:coreProperties>
</file>